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20" w:rsidRDefault="00C44B20" w:rsidP="00C44B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Жалоба на положения документации об электронном аукционе № </w:t>
      </w:r>
      <w:r w:rsidRPr="00DB1770">
        <w:rPr>
          <w:b/>
          <w:sz w:val="22"/>
          <w:szCs w:val="22"/>
        </w:rPr>
        <w:t>0419100000216000041</w:t>
      </w:r>
      <w:r>
        <w:rPr>
          <w:b/>
          <w:sz w:val="22"/>
          <w:szCs w:val="22"/>
        </w:rPr>
        <w:t xml:space="preserve"> «</w:t>
      </w:r>
      <w:r w:rsidRPr="00837F1A">
        <w:rPr>
          <w:b/>
          <w:sz w:val="22"/>
          <w:szCs w:val="22"/>
        </w:rPr>
        <w:t>Выполнение работ по объекту: «Акционерное общество «Красноярский машиностроительный завод», г. Красноярск, Красноярский край: реконструкция и техническое перевооружение производственно-испытательной базы (в обеспечение реализации промышленной технологии № 1.2.1.87)</w:t>
      </w:r>
      <w:r>
        <w:rPr>
          <w:b/>
          <w:sz w:val="22"/>
          <w:szCs w:val="22"/>
        </w:rPr>
        <w:t>»</w:t>
      </w:r>
    </w:p>
    <w:p w:rsidR="00C44B20" w:rsidRPr="004D3E90" w:rsidRDefault="00C44B20" w:rsidP="00C44B20">
      <w:pPr>
        <w:rPr>
          <w:b/>
          <w:sz w:val="24"/>
          <w:szCs w:val="22"/>
        </w:rPr>
      </w:pPr>
      <w:r w:rsidRPr="004D3E90">
        <w:rPr>
          <w:b/>
          <w:sz w:val="24"/>
          <w:szCs w:val="22"/>
        </w:rPr>
        <w:t>Заказчик:</w:t>
      </w:r>
    </w:p>
    <w:p w:rsidR="00C44B20" w:rsidRPr="004D3E90" w:rsidRDefault="00C44B20" w:rsidP="00C44B20">
      <w:pPr>
        <w:keepNext/>
        <w:keepLines/>
        <w:suppressAutoHyphens/>
        <w:jc w:val="both"/>
        <w:outlineLvl w:val="0"/>
        <w:rPr>
          <w:b/>
          <w:spacing w:val="-2"/>
          <w:sz w:val="24"/>
          <w:szCs w:val="22"/>
        </w:rPr>
      </w:pPr>
      <w:r w:rsidRPr="004D3E90">
        <w:rPr>
          <w:b/>
          <w:spacing w:val="-2"/>
          <w:sz w:val="24"/>
          <w:szCs w:val="22"/>
        </w:rPr>
        <w:t>Акционерное общество «Красноярский машин</w:t>
      </w:r>
      <w:r w:rsidRPr="004D3E90">
        <w:rPr>
          <w:b/>
          <w:spacing w:val="-2"/>
          <w:sz w:val="24"/>
          <w:szCs w:val="22"/>
        </w:rPr>
        <w:t>о</w:t>
      </w:r>
      <w:r w:rsidRPr="004D3E90">
        <w:rPr>
          <w:b/>
          <w:spacing w:val="-2"/>
          <w:sz w:val="24"/>
          <w:szCs w:val="22"/>
        </w:rPr>
        <w:t xml:space="preserve">строительный завод» </w:t>
      </w:r>
    </w:p>
    <w:p w:rsidR="00C44B20" w:rsidRPr="004D3E90" w:rsidRDefault="00C44B20" w:rsidP="00C44B20">
      <w:pPr>
        <w:keepNext/>
        <w:keepLines/>
        <w:suppressAutoHyphens/>
        <w:jc w:val="both"/>
        <w:rPr>
          <w:b/>
          <w:spacing w:val="-2"/>
          <w:sz w:val="24"/>
          <w:szCs w:val="22"/>
        </w:rPr>
      </w:pPr>
      <w:r w:rsidRPr="004D3E90">
        <w:rPr>
          <w:b/>
          <w:spacing w:val="-2"/>
          <w:sz w:val="24"/>
          <w:szCs w:val="22"/>
        </w:rPr>
        <w:t>(АО «</w:t>
      </w:r>
      <w:proofErr w:type="spellStart"/>
      <w:r w:rsidRPr="004D3E90">
        <w:rPr>
          <w:b/>
          <w:spacing w:val="-2"/>
          <w:sz w:val="24"/>
          <w:szCs w:val="22"/>
        </w:rPr>
        <w:t>Красмаш</w:t>
      </w:r>
      <w:proofErr w:type="spellEnd"/>
      <w:r w:rsidRPr="004D3E90">
        <w:rPr>
          <w:b/>
          <w:spacing w:val="-2"/>
          <w:sz w:val="24"/>
          <w:szCs w:val="22"/>
        </w:rPr>
        <w:t>»)</w:t>
      </w:r>
    </w:p>
    <w:p w:rsidR="00C44B20" w:rsidRPr="004D3E90" w:rsidRDefault="00C44B20" w:rsidP="00C44B20">
      <w:pPr>
        <w:autoSpaceDE w:val="0"/>
        <w:autoSpaceDN w:val="0"/>
        <w:jc w:val="both"/>
        <w:outlineLvl w:val="0"/>
        <w:rPr>
          <w:iCs/>
          <w:spacing w:val="-4"/>
          <w:sz w:val="24"/>
          <w:szCs w:val="22"/>
        </w:rPr>
      </w:pPr>
      <w:r w:rsidRPr="004D3E90">
        <w:rPr>
          <w:color w:val="000000"/>
          <w:spacing w:val="-4"/>
          <w:sz w:val="24"/>
          <w:szCs w:val="22"/>
        </w:rPr>
        <w:t xml:space="preserve">ИНН </w:t>
      </w:r>
      <w:r w:rsidRPr="004D3E90">
        <w:rPr>
          <w:iCs/>
          <w:spacing w:val="-4"/>
          <w:sz w:val="24"/>
          <w:szCs w:val="22"/>
        </w:rPr>
        <w:t xml:space="preserve">2462206345    КПП </w:t>
      </w:r>
      <w:r w:rsidRPr="004D3E90">
        <w:rPr>
          <w:sz w:val="24"/>
          <w:szCs w:val="22"/>
        </w:rPr>
        <w:t>997850001</w:t>
      </w:r>
      <w:r w:rsidRPr="004D3E90">
        <w:rPr>
          <w:iCs/>
          <w:spacing w:val="-4"/>
          <w:sz w:val="24"/>
          <w:szCs w:val="22"/>
        </w:rPr>
        <w:t xml:space="preserve">    ОГРН 1082468060553</w:t>
      </w:r>
    </w:p>
    <w:p w:rsidR="00C44B20" w:rsidRPr="004D3E90" w:rsidRDefault="00C44B20" w:rsidP="00C44B20">
      <w:pPr>
        <w:tabs>
          <w:tab w:val="num" w:pos="0"/>
        </w:tabs>
        <w:jc w:val="both"/>
        <w:rPr>
          <w:spacing w:val="-2"/>
          <w:sz w:val="24"/>
          <w:szCs w:val="22"/>
        </w:rPr>
      </w:pPr>
      <w:r w:rsidRPr="004D3E90">
        <w:rPr>
          <w:spacing w:val="-2"/>
          <w:sz w:val="24"/>
          <w:szCs w:val="22"/>
        </w:rPr>
        <w:t>Адрес местонахождения: 660123, Российская Федерация, Красноярский край, г. Красноярск, проспект имени газеты Красноярский раб</w:t>
      </w:r>
      <w:r w:rsidRPr="004D3E90">
        <w:rPr>
          <w:spacing w:val="-2"/>
          <w:sz w:val="24"/>
          <w:szCs w:val="22"/>
        </w:rPr>
        <w:t>о</w:t>
      </w:r>
      <w:r w:rsidRPr="004D3E90">
        <w:rPr>
          <w:spacing w:val="-2"/>
          <w:sz w:val="24"/>
          <w:szCs w:val="22"/>
        </w:rPr>
        <w:t>чий, д. 29.</w:t>
      </w:r>
    </w:p>
    <w:p w:rsidR="00C44B20" w:rsidRPr="004D3E90" w:rsidRDefault="00C44B20" w:rsidP="00C44B20">
      <w:pPr>
        <w:tabs>
          <w:tab w:val="num" w:pos="0"/>
        </w:tabs>
        <w:jc w:val="both"/>
        <w:rPr>
          <w:spacing w:val="-2"/>
          <w:sz w:val="24"/>
          <w:szCs w:val="22"/>
        </w:rPr>
      </w:pPr>
      <w:r w:rsidRPr="004D3E90">
        <w:rPr>
          <w:spacing w:val="-2"/>
          <w:sz w:val="24"/>
          <w:szCs w:val="22"/>
        </w:rPr>
        <w:t>Почтовый адрес: 660123, Российская Федерация, Красноярский край, г. Красноярск, проспект имени газеты Красноярский раб</w:t>
      </w:r>
      <w:r w:rsidRPr="004D3E90">
        <w:rPr>
          <w:spacing w:val="-2"/>
          <w:sz w:val="24"/>
          <w:szCs w:val="22"/>
        </w:rPr>
        <w:t>о</w:t>
      </w:r>
      <w:r w:rsidRPr="004D3E90">
        <w:rPr>
          <w:spacing w:val="-2"/>
          <w:sz w:val="24"/>
          <w:szCs w:val="22"/>
        </w:rPr>
        <w:t>чий, д. 29.</w:t>
      </w:r>
    </w:p>
    <w:p w:rsidR="00C44B20" w:rsidRPr="004D3E90" w:rsidRDefault="00C44B20" w:rsidP="00C44B20">
      <w:pPr>
        <w:widowControl w:val="0"/>
        <w:jc w:val="both"/>
        <w:rPr>
          <w:spacing w:val="-2"/>
          <w:sz w:val="24"/>
          <w:szCs w:val="22"/>
        </w:rPr>
      </w:pPr>
      <w:r w:rsidRPr="004D3E90">
        <w:rPr>
          <w:spacing w:val="-2"/>
          <w:sz w:val="24"/>
          <w:szCs w:val="22"/>
        </w:rPr>
        <w:t xml:space="preserve">Ответственное должностное лицо: Заместитель генерального директора – технический директор - </w:t>
      </w:r>
      <w:proofErr w:type="spellStart"/>
      <w:r w:rsidRPr="004D3E90">
        <w:rPr>
          <w:spacing w:val="-2"/>
          <w:sz w:val="24"/>
          <w:szCs w:val="22"/>
        </w:rPr>
        <w:t>Кайчук</w:t>
      </w:r>
      <w:proofErr w:type="spellEnd"/>
      <w:r w:rsidRPr="004D3E90">
        <w:rPr>
          <w:spacing w:val="-2"/>
          <w:sz w:val="24"/>
          <w:szCs w:val="22"/>
        </w:rPr>
        <w:t xml:space="preserve"> Леонид Николаевич;</w:t>
      </w:r>
    </w:p>
    <w:p w:rsidR="00C44B20" w:rsidRPr="004D3E90" w:rsidRDefault="00C44B20" w:rsidP="00C44B20">
      <w:pPr>
        <w:widowControl w:val="0"/>
        <w:jc w:val="both"/>
        <w:rPr>
          <w:spacing w:val="-2"/>
          <w:sz w:val="24"/>
          <w:szCs w:val="22"/>
        </w:rPr>
      </w:pPr>
      <w:r w:rsidRPr="004D3E90">
        <w:rPr>
          <w:spacing w:val="-2"/>
          <w:sz w:val="24"/>
          <w:szCs w:val="22"/>
        </w:rPr>
        <w:t xml:space="preserve">Контактное лицо: </w:t>
      </w:r>
      <w:proofErr w:type="spellStart"/>
      <w:r w:rsidRPr="004D3E90">
        <w:rPr>
          <w:spacing w:val="-2"/>
          <w:sz w:val="24"/>
          <w:szCs w:val="22"/>
        </w:rPr>
        <w:t>Оснач</w:t>
      </w:r>
      <w:proofErr w:type="spellEnd"/>
      <w:r w:rsidRPr="004D3E90">
        <w:rPr>
          <w:spacing w:val="-2"/>
          <w:sz w:val="24"/>
          <w:szCs w:val="22"/>
        </w:rPr>
        <w:t xml:space="preserve"> Алена Юрьевна, тел./факс: (391) 264-67-31 / (391) 264-48-91</w:t>
      </w:r>
    </w:p>
    <w:p w:rsidR="00C44B20" w:rsidRPr="004D3E90" w:rsidRDefault="00C44B20" w:rsidP="00C44B20">
      <w:pPr>
        <w:keepNext/>
        <w:keepLines/>
        <w:shd w:val="clear" w:color="auto" w:fill="FFFFFF"/>
        <w:tabs>
          <w:tab w:val="left" w:pos="9781"/>
        </w:tabs>
        <w:suppressAutoHyphens/>
        <w:jc w:val="both"/>
        <w:rPr>
          <w:spacing w:val="-2"/>
          <w:sz w:val="24"/>
          <w:szCs w:val="22"/>
        </w:rPr>
      </w:pPr>
      <w:r w:rsidRPr="004D3E90">
        <w:rPr>
          <w:color w:val="000000"/>
          <w:spacing w:val="-2"/>
          <w:sz w:val="24"/>
          <w:szCs w:val="22"/>
        </w:rPr>
        <w:t xml:space="preserve">Адрес электронной почты: </w:t>
      </w:r>
      <w:hyperlink r:id="rId6" w:history="1">
        <w:r w:rsidRPr="004D3E90">
          <w:rPr>
            <w:rStyle w:val="a3"/>
            <w:spacing w:val="-2"/>
            <w:sz w:val="24"/>
            <w:szCs w:val="22"/>
          </w:rPr>
          <w:t>kras@krasmail.ru</w:t>
        </w:r>
      </w:hyperlink>
    </w:p>
    <w:p w:rsidR="00C44B20" w:rsidRPr="004D3E90" w:rsidRDefault="00C44B20" w:rsidP="00C44B20">
      <w:pPr>
        <w:keepNext/>
        <w:keepLines/>
        <w:shd w:val="clear" w:color="auto" w:fill="FFFFFF"/>
        <w:tabs>
          <w:tab w:val="left" w:pos="9781"/>
        </w:tabs>
        <w:suppressAutoHyphens/>
        <w:jc w:val="both"/>
        <w:rPr>
          <w:spacing w:val="-2"/>
          <w:sz w:val="24"/>
          <w:szCs w:val="22"/>
        </w:rPr>
      </w:pPr>
      <w:r w:rsidRPr="004D3E90">
        <w:rPr>
          <w:spacing w:val="-2"/>
          <w:sz w:val="24"/>
          <w:szCs w:val="22"/>
        </w:rPr>
        <w:t>Адрес электронной площадки: http://sberbank-ast.ru</w:t>
      </w:r>
    </w:p>
    <w:p w:rsidR="00C44B20" w:rsidRDefault="00C44B20" w:rsidP="00C44B20"/>
    <w:p w:rsidR="00C44B20" w:rsidRDefault="00C44B20" w:rsidP="00C44B20">
      <w:pPr>
        <w:ind w:left="-1134" w:firstLine="850"/>
      </w:pPr>
    </w:p>
    <w:p w:rsidR="00C44B20" w:rsidRPr="00274F89" w:rsidRDefault="00C44B20" w:rsidP="00C44B20">
      <w:pPr>
        <w:ind w:left="-142" w:firstLine="850"/>
        <w:jc w:val="both"/>
        <w:rPr>
          <w:sz w:val="24"/>
        </w:rPr>
      </w:pPr>
      <w:r w:rsidRPr="004D3E90">
        <w:rPr>
          <w:sz w:val="24"/>
        </w:rPr>
        <w:t>Документации об электронном аукционе № 0419100000216000041 «Выполнение работ по объекту: «Акционерное общество «Красноярский машиностроительный завод», г. Красноярск, Красноярский край: реконструкция и техническое перевооружение производственно-испытательной базы (в обеспечение реализации промышленной технологии № 1.2.1.87)»</w:t>
      </w:r>
      <w:r>
        <w:rPr>
          <w:sz w:val="24"/>
        </w:rPr>
        <w:t xml:space="preserve"> содержит ряд существенных нарушений законодательства Российской Федерации, в частности норм Федерального </w:t>
      </w:r>
      <w:r w:rsidRPr="00274F89">
        <w:rPr>
          <w:sz w:val="24"/>
        </w:rPr>
        <w:t>закона №44-ФЗ и Федерального закона №135-ФЗ, выражающиеся в следующем:</w:t>
      </w:r>
    </w:p>
    <w:p w:rsidR="00C44B20" w:rsidRDefault="00C44B20" w:rsidP="00C44B20">
      <w:pPr>
        <w:ind w:left="-142" w:firstLine="850"/>
        <w:rPr>
          <w:sz w:val="24"/>
        </w:rPr>
      </w:pPr>
    </w:p>
    <w:p w:rsidR="00C44B20" w:rsidRPr="00274F89" w:rsidRDefault="00C44B20" w:rsidP="00C44B20">
      <w:pPr>
        <w:ind w:left="-142" w:firstLine="850"/>
        <w:rPr>
          <w:sz w:val="24"/>
        </w:rPr>
      </w:pPr>
      <w:r w:rsidRPr="00274F89">
        <w:rPr>
          <w:sz w:val="24"/>
        </w:rPr>
        <w:t>1. Заказчиком установлены невыполнимые сроки исполнения обязательств по контракту.</w:t>
      </w:r>
    </w:p>
    <w:p w:rsidR="00C44B20" w:rsidRPr="00837F1A" w:rsidRDefault="00C44B20" w:rsidP="00C44B20">
      <w:pPr>
        <w:shd w:val="clear" w:color="auto" w:fill="FFFFFF"/>
        <w:ind w:left="-142" w:firstLine="850"/>
        <w:contextualSpacing/>
        <w:jc w:val="both"/>
        <w:rPr>
          <w:sz w:val="24"/>
          <w:lang w:eastAsia="en-US"/>
        </w:rPr>
      </w:pPr>
      <w:r w:rsidRPr="00837F1A">
        <w:rPr>
          <w:sz w:val="24"/>
          <w:lang w:eastAsia="en-US"/>
        </w:rPr>
        <w:t>Согласно пункту 8 Информационной карты документации об аукционе определены сроки и этапы выполнения работ:</w:t>
      </w:r>
    </w:p>
    <w:p w:rsidR="00C44B20" w:rsidRPr="00837F1A" w:rsidRDefault="00C44B20" w:rsidP="00C44B20">
      <w:pPr>
        <w:shd w:val="clear" w:color="auto" w:fill="FFFFFF"/>
        <w:ind w:left="-142" w:firstLine="850"/>
        <w:contextualSpacing/>
        <w:jc w:val="both"/>
        <w:rPr>
          <w:sz w:val="24"/>
          <w:lang w:eastAsia="en-US"/>
        </w:rPr>
      </w:pPr>
      <w:r w:rsidRPr="00837F1A">
        <w:rPr>
          <w:sz w:val="24"/>
          <w:lang w:eastAsia="en-US"/>
        </w:rPr>
        <w:t>Начало работ: со дня заключения Контракта;</w:t>
      </w:r>
    </w:p>
    <w:p w:rsidR="00C44B20" w:rsidRPr="00837F1A" w:rsidRDefault="00C44B20" w:rsidP="00C44B20">
      <w:pPr>
        <w:shd w:val="clear" w:color="auto" w:fill="FFFFFF"/>
        <w:ind w:left="-142" w:firstLine="850"/>
        <w:contextualSpacing/>
        <w:jc w:val="both"/>
        <w:rPr>
          <w:sz w:val="24"/>
          <w:lang w:eastAsia="en-US"/>
        </w:rPr>
      </w:pPr>
      <w:r w:rsidRPr="00837F1A">
        <w:rPr>
          <w:sz w:val="24"/>
          <w:lang w:eastAsia="en-US"/>
        </w:rPr>
        <w:t>1 этап 2016 год – срок выполнения работ 25.12.2016;</w:t>
      </w:r>
    </w:p>
    <w:p w:rsidR="00C44B20" w:rsidRPr="00837F1A" w:rsidRDefault="00C44B20" w:rsidP="00C44B20">
      <w:pPr>
        <w:shd w:val="clear" w:color="auto" w:fill="FFFFFF"/>
        <w:ind w:left="-142" w:firstLine="850"/>
        <w:contextualSpacing/>
        <w:jc w:val="both"/>
        <w:rPr>
          <w:sz w:val="24"/>
          <w:lang w:eastAsia="en-US"/>
        </w:rPr>
      </w:pPr>
      <w:r w:rsidRPr="00837F1A">
        <w:rPr>
          <w:sz w:val="24"/>
          <w:lang w:eastAsia="en-US"/>
        </w:rPr>
        <w:t>2 этап 2017 год – срок выполнения работ 25.11.2017.</w:t>
      </w:r>
    </w:p>
    <w:p w:rsidR="00C44B20" w:rsidRPr="00837F1A" w:rsidRDefault="00C44B20" w:rsidP="00C44B20">
      <w:pPr>
        <w:shd w:val="clear" w:color="auto" w:fill="FFFFFF"/>
        <w:ind w:left="-142" w:firstLine="850"/>
        <w:contextualSpacing/>
        <w:jc w:val="both"/>
        <w:rPr>
          <w:sz w:val="24"/>
          <w:lang w:eastAsia="en-US"/>
        </w:rPr>
      </w:pPr>
      <w:r w:rsidRPr="00837F1A">
        <w:rPr>
          <w:sz w:val="24"/>
          <w:lang w:eastAsia="en-US"/>
        </w:rPr>
        <w:t>Согласно пункту 33 Информационной карты документации об аукционе определена дата подведения итогов аукциона – 12.12.2016 г.</w:t>
      </w:r>
    </w:p>
    <w:p w:rsidR="00C44B20" w:rsidRPr="00682D03" w:rsidRDefault="00C44B20" w:rsidP="00C44B20">
      <w:pPr>
        <w:shd w:val="clear" w:color="auto" w:fill="FFFFFF"/>
        <w:ind w:left="-142" w:firstLine="850"/>
        <w:contextualSpacing/>
        <w:jc w:val="both"/>
        <w:rPr>
          <w:sz w:val="24"/>
          <w:lang w:eastAsia="en-US"/>
        </w:rPr>
      </w:pPr>
      <w:r w:rsidRPr="00837F1A">
        <w:rPr>
          <w:sz w:val="24"/>
          <w:lang w:eastAsia="en-US"/>
        </w:rPr>
        <w:t xml:space="preserve">Согласно положениями статьи 70 Федерального закона №44-ФЗ контракт не может быть заключен ранее, чем через 10 дней со дня подведения итогов аукциона. Соответственно контракт по данной закупке не может быть заключен до </w:t>
      </w:r>
      <w:r w:rsidRPr="00682D03">
        <w:rPr>
          <w:sz w:val="24"/>
          <w:lang w:eastAsia="en-US"/>
        </w:rPr>
        <w:t>2</w:t>
      </w:r>
      <w:r w:rsidRPr="00837F1A">
        <w:rPr>
          <w:sz w:val="24"/>
          <w:lang w:eastAsia="en-US"/>
        </w:rPr>
        <w:t>3 декабря 2016 года. Срок исполнения контракта в 2016 году составляет, таким образом, 2 дн</w:t>
      </w:r>
      <w:r w:rsidRPr="00682D03">
        <w:rPr>
          <w:sz w:val="24"/>
          <w:lang w:eastAsia="en-US"/>
        </w:rPr>
        <w:t>я</w:t>
      </w:r>
      <w:r w:rsidRPr="00837F1A">
        <w:rPr>
          <w:sz w:val="24"/>
          <w:lang w:eastAsia="en-US"/>
        </w:rPr>
        <w:t xml:space="preserve">. </w:t>
      </w:r>
    </w:p>
    <w:p w:rsidR="00C44B20" w:rsidRPr="00682D03" w:rsidRDefault="00C44B20" w:rsidP="00C44B20">
      <w:pPr>
        <w:shd w:val="clear" w:color="auto" w:fill="FFFFFF"/>
        <w:ind w:left="-142" w:firstLine="850"/>
        <w:contextualSpacing/>
        <w:jc w:val="both"/>
        <w:rPr>
          <w:sz w:val="24"/>
          <w:lang w:eastAsia="en-US"/>
        </w:rPr>
      </w:pPr>
      <w:r>
        <w:rPr>
          <w:sz w:val="24"/>
          <w:lang w:eastAsia="en-US"/>
        </w:rPr>
        <w:t>Н</w:t>
      </w:r>
      <w:r w:rsidRPr="00682D03">
        <w:rPr>
          <w:sz w:val="24"/>
          <w:lang w:eastAsia="en-US"/>
        </w:rPr>
        <w:t>а освоение лимитов 2016 года (418 296 626,80 рублей) отведено 2 дня, а на освоение оставшихся лимитов 2017 года (41 633 251,61 рублей) – полных 11 месяцев. Подобные действия Заказчика содержа</w:t>
      </w:r>
      <w:r>
        <w:rPr>
          <w:sz w:val="24"/>
          <w:lang w:eastAsia="en-US"/>
        </w:rPr>
        <w:t>т</w:t>
      </w:r>
      <w:r w:rsidRPr="00682D03">
        <w:rPr>
          <w:sz w:val="24"/>
          <w:lang w:eastAsia="en-US"/>
        </w:rPr>
        <w:t xml:space="preserve"> признаки ограничения конкуренции, так</w:t>
      </w:r>
      <w:r>
        <w:rPr>
          <w:sz w:val="24"/>
          <w:lang w:eastAsia="en-US"/>
        </w:rPr>
        <w:t xml:space="preserve"> как освоение 418 млн. руб. за </w:t>
      </w:r>
      <w:r w:rsidRPr="00682D03">
        <w:rPr>
          <w:sz w:val="24"/>
          <w:lang w:eastAsia="en-US"/>
        </w:rPr>
        <w:t>2 дн</w:t>
      </w:r>
      <w:r>
        <w:rPr>
          <w:sz w:val="24"/>
          <w:lang w:eastAsia="en-US"/>
        </w:rPr>
        <w:t>я</w:t>
      </w:r>
      <w:r w:rsidRPr="00682D03">
        <w:rPr>
          <w:sz w:val="24"/>
          <w:lang w:eastAsia="en-US"/>
        </w:rPr>
        <w:t xml:space="preserve"> невозможно.</w:t>
      </w:r>
    </w:p>
    <w:p w:rsidR="00C44B20" w:rsidRPr="00837F1A" w:rsidRDefault="00C44B20" w:rsidP="00C44B20">
      <w:pPr>
        <w:shd w:val="clear" w:color="auto" w:fill="FFFFFF"/>
        <w:ind w:left="-142" w:firstLine="850"/>
        <w:contextualSpacing/>
        <w:jc w:val="both"/>
        <w:rPr>
          <w:rFonts w:eastAsia="Calibri"/>
          <w:sz w:val="24"/>
          <w:lang w:eastAsia="en-US"/>
        </w:rPr>
      </w:pPr>
      <w:r w:rsidRPr="00682D03">
        <w:rPr>
          <w:sz w:val="24"/>
          <w:lang w:eastAsia="en-US"/>
        </w:rPr>
        <w:t>Помимо этого</w:t>
      </w:r>
      <w:r w:rsidRPr="00837F1A">
        <w:rPr>
          <w:sz w:val="24"/>
          <w:lang w:eastAsia="en-US"/>
        </w:rPr>
        <w:t xml:space="preserve"> согласно пункту 4.9 проекта контракта оплата технологического Оборудования поставляемого 2016 году осуществляется в следующем порядке: </w:t>
      </w:r>
    </w:p>
    <w:p w:rsidR="00C44B20" w:rsidRPr="00837F1A" w:rsidRDefault="00C44B20" w:rsidP="00C44B20">
      <w:pPr>
        <w:shd w:val="clear" w:color="auto" w:fill="FFFFFF"/>
        <w:ind w:left="-142" w:firstLine="850"/>
        <w:contextualSpacing/>
        <w:jc w:val="both"/>
        <w:rPr>
          <w:rFonts w:eastAsia="Calibri"/>
          <w:sz w:val="24"/>
          <w:lang w:eastAsia="en-US"/>
        </w:rPr>
      </w:pPr>
      <w:r w:rsidRPr="00837F1A">
        <w:rPr>
          <w:sz w:val="24"/>
          <w:lang w:eastAsia="en-US"/>
        </w:rPr>
        <w:t xml:space="preserve"> - авансовый платеж в размере 50 % от цены технологического оборудования поставляемого 2016 году, производится</w:t>
      </w:r>
      <w:r w:rsidRPr="00837F1A">
        <w:rPr>
          <w:rFonts w:eastAsia="Calibri"/>
          <w:sz w:val="24"/>
          <w:lang w:eastAsia="en-US"/>
        </w:rPr>
        <w:t xml:space="preserve"> на лицевой счет Генподрядчика в течение 10 (десяти) банковских дней с момента заключения Контракта, на основании выставленного Генподрядчиком счета на оплату. </w:t>
      </w:r>
    </w:p>
    <w:p w:rsidR="00C44B20" w:rsidRPr="00837F1A" w:rsidRDefault="00C44B20" w:rsidP="00C44B20">
      <w:pPr>
        <w:shd w:val="clear" w:color="auto" w:fill="FFFFFF"/>
        <w:ind w:left="-142" w:firstLine="850"/>
        <w:contextualSpacing/>
        <w:jc w:val="both"/>
        <w:rPr>
          <w:rFonts w:eastAsia="Calibri"/>
          <w:sz w:val="24"/>
          <w:lang w:eastAsia="en-US"/>
        </w:rPr>
      </w:pPr>
      <w:r w:rsidRPr="00837F1A">
        <w:rPr>
          <w:rFonts w:eastAsia="Calibri"/>
          <w:sz w:val="24"/>
          <w:lang w:eastAsia="en-US"/>
        </w:rPr>
        <w:t xml:space="preserve">Таким образом, Генеральный подрядчик может получить аванс на закупку оборудования только </w:t>
      </w:r>
      <w:r w:rsidRPr="00682D03">
        <w:rPr>
          <w:rFonts w:eastAsia="Calibri"/>
          <w:sz w:val="24"/>
          <w:lang w:eastAsia="en-US"/>
        </w:rPr>
        <w:t>12</w:t>
      </w:r>
      <w:r w:rsidRPr="00837F1A">
        <w:rPr>
          <w:rFonts w:eastAsia="Calibri"/>
          <w:sz w:val="24"/>
          <w:lang w:eastAsia="en-US"/>
        </w:rPr>
        <w:t xml:space="preserve"> </w:t>
      </w:r>
      <w:r w:rsidRPr="00682D03">
        <w:rPr>
          <w:rFonts w:eastAsia="Calibri"/>
          <w:sz w:val="24"/>
          <w:lang w:eastAsia="en-US"/>
        </w:rPr>
        <w:t>января 2017</w:t>
      </w:r>
      <w:r w:rsidRPr="00837F1A">
        <w:rPr>
          <w:rFonts w:eastAsia="Calibri"/>
          <w:sz w:val="24"/>
          <w:lang w:eastAsia="en-US"/>
        </w:rPr>
        <w:t xml:space="preserve"> года (на 10-й банковский день со дня подписания контракта). </w:t>
      </w:r>
    </w:p>
    <w:p w:rsidR="00C44B20" w:rsidRPr="00682D03" w:rsidRDefault="00C44B20" w:rsidP="00C44B20">
      <w:pPr>
        <w:tabs>
          <w:tab w:val="left" w:pos="567"/>
        </w:tabs>
        <w:ind w:left="-142" w:right="-2" w:firstLine="850"/>
        <w:contextualSpacing/>
        <w:jc w:val="both"/>
        <w:rPr>
          <w:sz w:val="24"/>
          <w:lang w:eastAsia="en-US"/>
        </w:rPr>
      </w:pPr>
      <w:r w:rsidRPr="00837F1A">
        <w:rPr>
          <w:rFonts w:eastAsia="Calibri"/>
          <w:sz w:val="24"/>
          <w:lang w:eastAsia="en-US"/>
        </w:rPr>
        <w:t xml:space="preserve">Кроме того, согласно пункту 6.1.4. проекта контракта в обязанности Заказчика входит: </w:t>
      </w:r>
      <w:proofErr w:type="gramStart"/>
      <w:r w:rsidRPr="00837F1A">
        <w:rPr>
          <w:sz w:val="24"/>
          <w:lang w:eastAsia="en-US"/>
        </w:rPr>
        <w:t xml:space="preserve">Передать по Акту, в течение </w:t>
      </w:r>
      <w:r w:rsidRPr="00837F1A">
        <w:rPr>
          <w:i/>
          <w:sz w:val="24"/>
          <w:lang w:eastAsia="en-US"/>
        </w:rPr>
        <w:t>двадцати календарных дней с даты подписания настоящего Контракта</w:t>
      </w:r>
      <w:r w:rsidRPr="00837F1A">
        <w:rPr>
          <w:sz w:val="24"/>
          <w:lang w:eastAsia="en-US"/>
        </w:rPr>
        <w:t xml:space="preserve">, Генподрядчику, в установленном порядке, на период строительства Объекта, Строительную площадку для производства строительных работ на территории предприятия, а также </w:t>
      </w:r>
      <w:r w:rsidRPr="00837F1A">
        <w:rPr>
          <w:sz w:val="24"/>
          <w:lang w:eastAsia="en-US"/>
        </w:rPr>
        <w:lastRenderedPageBreak/>
        <w:t>передать по Акту всю необходимую для строительства Объекта документацию (Рабочую документацию, журнал производства работ, геодезическую разбивочную основу с закрепленными на местности знаками этой основы, технические условия на временные</w:t>
      </w:r>
      <w:proofErr w:type="gramEnd"/>
      <w:r w:rsidRPr="00837F1A">
        <w:rPr>
          <w:sz w:val="24"/>
          <w:lang w:eastAsia="en-US"/>
        </w:rPr>
        <w:t xml:space="preserve"> присоединения по запросу Генподрядчика). Таким образом, необходимая документация передается в течение 20-ти дней со дня заключения контракта, то есть до </w:t>
      </w:r>
      <w:r w:rsidRPr="00682D03">
        <w:rPr>
          <w:sz w:val="24"/>
          <w:lang w:eastAsia="en-US"/>
        </w:rPr>
        <w:t>1</w:t>
      </w:r>
      <w:r w:rsidRPr="00837F1A">
        <w:rPr>
          <w:sz w:val="24"/>
          <w:lang w:eastAsia="en-US"/>
        </w:rPr>
        <w:t xml:space="preserve">2 января 2017 года включительно. </w:t>
      </w:r>
    </w:p>
    <w:p w:rsidR="00C44B20" w:rsidRPr="00682D03" w:rsidRDefault="00C44B20" w:rsidP="00C44B20">
      <w:pPr>
        <w:tabs>
          <w:tab w:val="left" w:pos="567"/>
        </w:tabs>
        <w:ind w:left="-142" w:right="-2" w:firstLine="850"/>
        <w:contextualSpacing/>
        <w:jc w:val="both"/>
        <w:rPr>
          <w:sz w:val="24"/>
          <w:lang w:eastAsia="en-US"/>
        </w:rPr>
      </w:pPr>
      <w:r w:rsidRPr="00682D03">
        <w:rPr>
          <w:sz w:val="24"/>
          <w:lang w:eastAsia="en-US"/>
        </w:rPr>
        <w:t>Так же согласно п. 3.4. проекта контракта перечень оборудования, подлежащего поставке, виды и объемы выполняемых работ и сроки исполнения обязатель</w:t>
      </w:r>
      <w:proofErr w:type="gramStart"/>
      <w:r w:rsidRPr="00682D03">
        <w:rPr>
          <w:sz w:val="24"/>
          <w:lang w:eastAsia="en-US"/>
        </w:rPr>
        <w:t>ств  Ст</w:t>
      </w:r>
      <w:proofErr w:type="gramEnd"/>
      <w:r w:rsidRPr="00682D03">
        <w:rPr>
          <w:sz w:val="24"/>
          <w:lang w:eastAsia="en-US"/>
        </w:rPr>
        <w:t>ороны согласовывают путем составления План-графика по Объекту на 2016 год в течение десяти рабочих дней с момента подписания Контракта. Согласование Планов-графиков по настоящему Контракту на последующие года производится до 15 декабря, предшествующего году выполнения работ. Таким образом, на 2016 год план-график будет согласован только 12 ян</w:t>
      </w:r>
      <w:bookmarkStart w:id="0" w:name="_GoBack"/>
      <w:bookmarkEnd w:id="0"/>
      <w:r w:rsidRPr="00682D03">
        <w:rPr>
          <w:sz w:val="24"/>
          <w:lang w:eastAsia="en-US"/>
        </w:rPr>
        <w:t xml:space="preserve">варя 2017 года, а срок согласования плана-графика истечет еще на этапе направления проекта контракта. </w:t>
      </w:r>
    </w:p>
    <w:p w:rsidR="00C44B20" w:rsidRPr="00682D03" w:rsidRDefault="00C44B20" w:rsidP="00C44B20">
      <w:pPr>
        <w:shd w:val="clear" w:color="auto" w:fill="FFFFFF"/>
        <w:ind w:left="-142" w:firstLine="850"/>
        <w:contextualSpacing/>
        <w:jc w:val="both"/>
        <w:rPr>
          <w:rFonts w:eastAsia="Calibri"/>
          <w:sz w:val="24"/>
          <w:lang w:eastAsia="en-US"/>
        </w:rPr>
      </w:pPr>
      <w:r w:rsidRPr="00837F1A">
        <w:rPr>
          <w:rFonts w:eastAsia="Calibri"/>
          <w:sz w:val="24"/>
          <w:lang w:eastAsia="en-US"/>
        </w:rPr>
        <w:t>Из указанного очевидно, что это</w:t>
      </w:r>
      <w:r w:rsidRPr="00682D03">
        <w:rPr>
          <w:rFonts w:eastAsia="Calibri"/>
          <w:sz w:val="24"/>
          <w:lang w:eastAsia="en-US"/>
        </w:rPr>
        <w:t xml:space="preserve"> у</w:t>
      </w:r>
      <w:r w:rsidRPr="00837F1A">
        <w:rPr>
          <w:rFonts w:eastAsia="Calibri"/>
          <w:sz w:val="24"/>
          <w:lang w:eastAsia="en-US"/>
        </w:rPr>
        <w:t>словия контракта являются для уч</w:t>
      </w:r>
      <w:r w:rsidRPr="00682D03">
        <w:rPr>
          <w:rFonts w:eastAsia="Calibri"/>
          <w:sz w:val="24"/>
          <w:lang w:eastAsia="en-US"/>
        </w:rPr>
        <w:t>астника заведомо невыполнимым. В отношении установленных сроков выполнения работ запросы заказчику направлялись, но соответствующие изменения в документацию так и не были внесены.</w:t>
      </w:r>
    </w:p>
    <w:p w:rsidR="00C44B20" w:rsidRDefault="00C44B20" w:rsidP="00C44B20">
      <w:pPr>
        <w:shd w:val="clear" w:color="auto" w:fill="FFFFFF"/>
        <w:ind w:left="-142" w:firstLine="850"/>
        <w:contextualSpacing/>
        <w:jc w:val="both"/>
        <w:rPr>
          <w:rFonts w:eastAsia="Calibri"/>
          <w:sz w:val="24"/>
          <w:lang w:eastAsia="en-US"/>
        </w:rPr>
      </w:pPr>
    </w:p>
    <w:p w:rsidR="00C44B20" w:rsidRPr="00150516" w:rsidRDefault="00C44B20" w:rsidP="00C44B20">
      <w:pPr>
        <w:pStyle w:val="20"/>
        <w:spacing w:before="0" w:after="0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lang w:bidi="ru-RU"/>
        </w:rPr>
      </w:pPr>
      <w:r w:rsidRPr="00150516">
        <w:rPr>
          <w:rFonts w:ascii="Times New Roman" w:eastAsia="Calibri" w:hAnsi="Times New Roman"/>
          <w:sz w:val="24"/>
        </w:rPr>
        <w:t xml:space="preserve">2. </w:t>
      </w:r>
      <w:r w:rsidRPr="00150516">
        <w:rPr>
          <w:rFonts w:ascii="Times New Roman" w:hAnsi="Times New Roman"/>
          <w:sz w:val="24"/>
        </w:rPr>
        <w:t xml:space="preserve">Заказчиком не опубликована проектно-сметная документация. </w:t>
      </w:r>
      <w:r w:rsidRPr="00150516">
        <w:rPr>
          <w:rFonts w:ascii="Times New Roman" w:hAnsi="Times New Roman"/>
          <w:color w:val="000000"/>
          <w:sz w:val="24"/>
          <w:lang w:bidi="ru-RU"/>
        </w:rPr>
        <w:t xml:space="preserve">В соответствии с пунктом 1 части 1 статьи 64 Закона о контрактной системе </w:t>
      </w:r>
      <w:proofErr w:type="gramStart"/>
      <w:r w:rsidRPr="00150516">
        <w:rPr>
          <w:rFonts w:ascii="Times New Roman" w:hAnsi="Times New Roman"/>
          <w:color w:val="000000"/>
          <w:sz w:val="24"/>
          <w:lang w:bidi="ru-RU"/>
        </w:rPr>
        <w:t>документация</w:t>
      </w:r>
      <w:proofErr w:type="gramEnd"/>
      <w:r w:rsidRPr="00150516">
        <w:rPr>
          <w:rFonts w:ascii="Times New Roman" w:hAnsi="Times New Roman"/>
          <w:color w:val="000000"/>
          <w:sz w:val="24"/>
          <w:lang w:bidi="ru-RU"/>
        </w:rPr>
        <w:t xml:space="preserve"> об электронном аукционе,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системе.</w:t>
      </w:r>
    </w:p>
    <w:p w:rsidR="00C44B20" w:rsidRPr="00150516" w:rsidRDefault="00C44B20" w:rsidP="00C44B20">
      <w:pPr>
        <w:widowControl w:val="0"/>
        <w:shd w:val="clear" w:color="auto" w:fill="FFFFFF"/>
        <w:ind w:left="-142" w:firstLine="850"/>
        <w:jc w:val="both"/>
        <w:rPr>
          <w:color w:val="000000"/>
          <w:sz w:val="24"/>
          <w:lang w:bidi="ru-RU"/>
        </w:rPr>
      </w:pPr>
      <w:r w:rsidRPr="00150516">
        <w:rPr>
          <w:color w:val="000000"/>
          <w:sz w:val="24"/>
          <w:lang w:bidi="ru-RU"/>
        </w:rPr>
        <w:t xml:space="preserve">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150516">
        <w:rPr>
          <w:color w:val="000000"/>
          <w:sz w:val="24"/>
          <w:lang w:bidi="ru-RU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150516">
        <w:rPr>
          <w:color w:val="000000"/>
          <w:sz w:val="24"/>
          <w:lang w:bidi="ru-RU"/>
        </w:rPr>
        <w:t xml:space="preserve"> точное и четкое описание характеристик объекта закупки.</w:t>
      </w:r>
    </w:p>
    <w:p w:rsidR="00C44B20" w:rsidRPr="00150516" w:rsidRDefault="00C44B20" w:rsidP="00C44B20">
      <w:pPr>
        <w:widowControl w:val="0"/>
        <w:shd w:val="clear" w:color="auto" w:fill="FFFFFF"/>
        <w:ind w:left="-142" w:firstLine="850"/>
        <w:jc w:val="both"/>
        <w:rPr>
          <w:color w:val="000000"/>
          <w:sz w:val="24"/>
          <w:lang w:bidi="ru-RU"/>
        </w:rPr>
      </w:pPr>
      <w:r w:rsidRPr="00150516">
        <w:rPr>
          <w:color w:val="000000"/>
          <w:sz w:val="24"/>
          <w:lang w:bidi="ru-RU"/>
        </w:rPr>
        <w:t xml:space="preserve">Частью 2 статьи 33 Закона о контрактной системе </w:t>
      </w:r>
      <w:proofErr w:type="gramStart"/>
      <w:r w:rsidRPr="00150516">
        <w:rPr>
          <w:color w:val="000000"/>
          <w:sz w:val="24"/>
          <w:lang w:bidi="ru-RU"/>
        </w:rPr>
        <w:t>документация</w:t>
      </w:r>
      <w:proofErr w:type="gramEnd"/>
      <w:r w:rsidRPr="00150516">
        <w:rPr>
          <w:color w:val="000000"/>
          <w:sz w:val="24"/>
          <w:lang w:bidi="ru-RU"/>
        </w:rPr>
        <w:t xml:space="preserve"> о закупке должна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C44B20" w:rsidRPr="00150516" w:rsidRDefault="00C44B20" w:rsidP="00C44B20">
      <w:pPr>
        <w:widowControl w:val="0"/>
        <w:shd w:val="clear" w:color="auto" w:fill="FFFFFF"/>
        <w:ind w:left="-142" w:firstLine="850"/>
        <w:jc w:val="both"/>
        <w:rPr>
          <w:color w:val="000000"/>
          <w:sz w:val="24"/>
          <w:lang w:bidi="ru-RU"/>
        </w:rPr>
      </w:pPr>
      <w:r w:rsidRPr="00150516">
        <w:rPr>
          <w:color w:val="000000"/>
          <w:sz w:val="24"/>
          <w:lang w:bidi="ru-RU"/>
        </w:rPr>
        <w:t xml:space="preserve">Согласно части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</w:t>
      </w:r>
      <w:proofErr w:type="gramStart"/>
      <w:r w:rsidRPr="00150516">
        <w:rPr>
          <w:color w:val="000000"/>
          <w:sz w:val="24"/>
          <w:lang w:bidi="ru-RU"/>
        </w:rPr>
        <w:t>другие</w:t>
      </w:r>
      <w:proofErr w:type="gramEnd"/>
      <w:r w:rsidRPr="00150516">
        <w:rPr>
          <w:color w:val="000000"/>
          <w:sz w:val="24"/>
          <w:lang w:bidi="ru-RU"/>
        </w:rPr>
        <w:t xml:space="preserve"> предъявляемые к ним требования, и со сметой, определяющей цену работ.</w:t>
      </w:r>
    </w:p>
    <w:p w:rsidR="00C44B20" w:rsidRPr="00150516" w:rsidRDefault="00C44B20" w:rsidP="00C44B20">
      <w:pPr>
        <w:widowControl w:val="0"/>
        <w:shd w:val="clear" w:color="auto" w:fill="FFFFFF"/>
        <w:ind w:left="-142" w:firstLine="850"/>
        <w:jc w:val="both"/>
        <w:rPr>
          <w:color w:val="000000"/>
          <w:sz w:val="24"/>
          <w:lang w:bidi="ru-RU"/>
        </w:rPr>
      </w:pPr>
      <w:r w:rsidRPr="00150516">
        <w:rPr>
          <w:color w:val="000000"/>
          <w:sz w:val="24"/>
          <w:lang w:bidi="ru-RU"/>
        </w:rPr>
        <w:t>В соответствии с частью 6 статьи 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C44B20" w:rsidRPr="00150516" w:rsidRDefault="00C44B20" w:rsidP="00C44B20">
      <w:pPr>
        <w:widowControl w:val="0"/>
        <w:shd w:val="clear" w:color="auto" w:fill="FFFFFF"/>
        <w:ind w:left="-142" w:firstLine="850"/>
        <w:jc w:val="both"/>
        <w:rPr>
          <w:color w:val="000000"/>
          <w:sz w:val="24"/>
          <w:lang w:bidi="ru-RU"/>
        </w:rPr>
      </w:pPr>
      <w:proofErr w:type="gramStart"/>
      <w:r w:rsidRPr="00150516">
        <w:rPr>
          <w:color w:val="000000"/>
          <w:sz w:val="24"/>
          <w:lang w:bidi="ru-RU"/>
        </w:rPr>
        <w:t>При этом согласно части 2 статьи 48 Градостроительного Кодекса Российской Федерации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  <w:proofErr w:type="gramEnd"/>
    </w:p>
    <w:p w:rsidR="00C44B20" w:rsidRPr="00150516" w:rsidRDefault="00C44B20" w:rsidP="00C44B20">
      <w:pPr>
        <w:widowControl w:val="0"/>
        <w:shd w:val="clear" w:color="auto" w:fill="FFFFFF"/>
        <w:ind w:left="-142" w:firstLine="850"/>
        <w:jc w:val="both"/>
        <w:rPr>
          <w:color w:val="000000"/>
          <w:sz w:val="24"/>
          <w:lang w:bidi="ru-RU"/>
        </w:rPr>
      </w:pPr>
      <w:r w:rsidRPr="00150516">
        <w:rPr>
          <w:color w:val="000000"/>
          <w:sz w:val="24"/>
          <w:lang w:bidi="ru-RU"/>
        </w:rPr>
        <w:t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C44B20" w:rsidRPr="00150516" w:rsidRDefault="00C44B20" w:rsidP="00C44B20">
      <w:pPr>
        <w:widowControl w:val="0"/>
        <w:ind w:firstLine="851"/>
        <w:jc w:val="both"/>
        <w:rPr>
          <w:color w:val="000000"/>
          <w:sz w:val="24"/>
          <w:lang w:bidi="ru-RU"/>
        </w:rPr>
      </w:pPr>
      <w:r w:rsidRPr="00150516">
        <w:rPr>
          <w:color w:val="000000"/>
          <w:sz w:val="24"/>
          <w:lang w:bidi="ru-RU"/>
        </w:rPr>
        <w:lastRenderedPageBreak/>
        <w:t>Отсутствие в документации о закупке функциональных, технических и качественных характеристик, эксплуатационных характеристик объекта закупки, требований к результатам работ, в том числе отсутствие в составе документации о закупке полного объема проектной документации приводит к невозможности формирования участником закупки предложения по исполнению государственного (муниципального) контракта.</w:t>
      </w:r>
    </w:p>
    <w:p w:rsidR="00C44B20" w:rsidRPr="00150516" w:rsidRDefault="00C44B20" w:rsidP="00C44B20">
      <w:pPr>
        <w:widowControl w:val="0"/>
        <w:ind w:firstLine="851"/>
        <w:jc w:val="both"/>
        <w:rPr>
          <w:sz w:val="24"/>
          <w:lang w:eastAsia="en-US"/>
        </w:rPr>
      </w:pPr>
      <w:proofErr w:type="gramStart"/>
      <w:r w:rsidRPr="00150516">
        <w:rPr>
          <w:sz w:val="24"/>
          <w:lang w:eastAsia="en-US"/>
        </w:rPr>
        <w:t xml:space="preserve">Аналогичная позиция по указанному вопросу высказана в Постановлении Пятнадцатого арбитражного апелляционного суда от 25.04.2011 № 15АП-2207/2011 по делу № А53-20147/2010, Постановлении ФАС Северо-Западного округа от 24.08.2010 по делу № А05-19235/2009, Постановление ФАС Восточно-Сибирского округа от 12.05.2010 по делу № А58-3760/2009, а так же решение Федеральной антимонопольной службы по делу № К–1648/16 от 11.10.2016 г. </w:t>
      </w:r>
      <w:proofErr w:type="gramEnd"/>
    </w:p>
    <w:p w:rsidR="00C44B20" w:rsidRDefault="00C44B20" w:rsidP="00C44B20">
      <w:pPr>
        <w:ind w:firstLine="851"/>
        <w:jc w:val="both"/>
        <w:rPr>
          <w:rFonts w:eastAsiaTheme="minorHAnsi" w:cstheme="minorBidi"/>
          <w:sz w:val="24"/>
          <w:lang w:eastAsia="en-US"/>
        </w:rPr>
      </w:pPr>
      <w:r w:rsidRPr="00150516">
        <w:rPr>
          <w:rFonts w:eastAsiaTheme="minorHAnsi" w:cstheme="minorBidi"/>
          <w:sz w:val="24"/>
          <w:lang w:eastAsia="en-US"/>
        </w:rPr>
        <w:t>Так</w:t>
      </w:r>
      <w:r>
        <w:rPr>
          <w:rFonts w:eastAsiaTheme="minorHAnsi" w:cstheme="minorBidi"/>
          <w:sz w:val="24"/>
          <w:lang w:eastAsia="en-US"/>
        </w:rPr>
        <w:t>им образом, действия Заказчика</w:t>
      </w:r>
      <w:r w:rsidRPr="00150516">
        <w:rPr>
          <w:rFonts w:eastAsiaTheme="minorHAnsi" w:cstheme="minorBidi"/>
          <w:sz w:val="24"/>
          <w:lang w:eastAsia="en-US"/>
        </w:rPr>
        <w:t>, не разместившего в ЕИС проектно-сметную документацию в полном объеме, нарушают пункт 1 части 1 статьи 64 Закона о контрактной системе</w:t>
      </w:r>
      <w:r>
        <w:rPr>
          <w:rFonts w:eastAsiaTheme="minorHAnsi" w:cstheme="minorBidi"/>
          <w:sz w:val="24"/>
          <w:lang w:eastAsia="en-US"/>
        </w:rPr>
        <w:t xml:space="preserve">.  </w:t>
      </w:r>
    </w:p>
    <w:p w:rsidR="00C44B20" w:rsidRPr="00150516" w:rsidRDefault="00C44B20" w:rsidP="00C44B20">
      <w:pPr>
        <w:ind w:firstLine="851"/>
        <w:jc w:val="both"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 w:val="24"/>
          <w:lang w:eastAsia="en-US"/>
        </w:rPr>
        <w:t>Заказчику направлялся запрос о предоставлении проектно-сметной документации, но соответствующие изменения так и не были внесены в документацию.</w:t>
      </w:r>
    </w:p>
    <w:p w:rsidR="00C44B20" w:rsidRPr="00150516" w:rsidRDefault="00C44B20" w:rsidP="00C44B20">
      <w:pPr>
        <w:ind w:firstLine="851"/>
        <w:jc w:val="both"/>
        <w:rPr>
          <w:rFonts w:eastAsiaTheme="minorHAnsi" w:cstheme="minorBidi"/>
          <w:sz w:val="24"/>
          <w:lang w:eastAsia="en-US"/>
        </w:rPr>
      </w:pPr>
      <w:r w:rsidRPr="00150516">
        <w:rPr>
          <w:rFonts w:eastAsiaTheme="minorHAnsi" w:cstheme="minorBidi"/>
          <w:sz w:val="24"/>
          <w:lang w:eastAsia="en-US"/>
        </w:rPr>
        <w:t xml:space="preserve"> </w:t>
      </w:r>
    </w:p>
    <w:p w:rsidR="00C44B20" w:rsidRDefault="00C44B20" w:rsidP="00C44B20">
      <w:pPr>
        <w:shd w:val="clear" w:color="auto" w:fill="FFFFFF"/>
        <w:ind w:firstLine="851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3. </w:t>
      </w:r>
      <w:proofErr w:type="gramStart"/>
      <w:r w:rsidRPr="00E444ED">
        <w:rPr>
          <w:rFonts w:eastAsia="Calibri"/>
          <w:sz w:val="24"/>
          <w:lang w:eastAsia="en-US"/>
        </w:rPr>
        <w:t>Согласно части 13 статьи 34 Федерального закона №44-ФЗ «В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приемки».</w:t>
      </w:r>
      <w:proofErr w:type="gramEnd"/>
      <w:r w:rsidRPr="00E444ED">
        <w:rPr>
          <w:rFonts w:eastAsia="Calibri"/>
          <w:sz w:val="24"/>
          <w:lang w:eastAsia="en-US"/>
        </w:rPr>
        <w:t xml:space="preserve"> В нарушение указанного пункта закона Заказчиком не определены сроки и порядок оплаты технологического оборудования в 2017 году. Согласно пункту 4.10 проекта контракта такие сроки будут определены дополнительным соглашением, что является прямым нарушением требований закона и дает участнику возможность подать заявку на участие в закупке, так как условия участия не определены.</w:t>
      </w:r>
    </w:p>
    <w:p w:rsidR="00C44B20" w:rsidRDefault="00C44B20" w:rsidP="00C44B20">
      <w:pPr>
        <w:shd w:val="clear" w:color="auto" w:fill="FFFFFF"/>
        <w:ind w:firstLine="851"/>
        <w:contextualSpacing/>
        <w:jc w:val="both"/>
        <w:rPr>
          <w:rFonts w:eastAsia="Calibri"/>
          <w:sz w:val="24"/>
          <w:lang w:eastAsia="en-US"/>
        </w:rPr>
      </w:pPr>
    </w:p>
    <w:p w:rsidR="00C44B20" w:rsidRDefault="00C44B20" w:rsidP="00C44B20">
      <w:pPr>
        <w:shd w:val="clear" w:color="auto" w:fill="FFFFFF"/>
        <w:ind w:firstLine="851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  Ответы на поступившие запросы о разъяснении положений документации вводят участников в заблуждение. Так, в ответе на запрос о даче разъяснений положений документации, полученный 25.11.2016 года, заказчик указал:  </w:t>
      </w:r>
    </w:p>
    <w:p w:rsidR="00C44B20" w:rsidRDefault="00C44B20" w:rsidP="00C44B20">
      <w:pPr>
        <w:shd w:val="clear" w:color="auto" w:fill="FFFFFF"/>
        <w:ind w:firstLine="851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- Разъяснение положений аукционной документации за исх. № 150/2717 от «22» ноября 2016 года считать не действительным</w:t>
      </w:r>
    </w:p>
    <w:p w:rsidR="00C44B20" w:rsidRDefault="00C44B20" w:rsidP="00C44B20">
      <w:pPr>
        <w:shd w:val="clear" w:color="auto" w:fill="FFFFFF"/>
        <w:ind w:firstLine="851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- Разъяснение положений аукционной документации за исх. № 150/2717 от «22» ноября 2016 года читать в следующей редакции…</w:t>
      </w:r>
    </w:p>
    <w:p w:rsidR="00C44B20" w:rsidRPr="007F647D" w:rsidRDefault="00C44B20" w:rsidP="00C44B20">
      <w:pPr>
        <w:shd w:val="clear" w:color="auto" w:fill="FFFFFF"/>
        <w:ind w:firstLine="851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Таким образом, заказчик вводит участников в заблуждение, сначала размещая ответ на запрос, а затем, признавая его недействительным, и нарушает сроки ответов на запрос, поскольку итоговый вариант разъяснений по запросу от 22.11.2016 года заказчик предоставил только 29.11.2016 г.   </w:t>
      </w:r>
    </w:p>
    <w:p w:rsidR="00C44B20" w:rsidRPr="003B2181" w:rsidRDefault="00C44B20" w:rsidP="00C44B20">
      <w:pPr>
        <w:shd w:val="clear" w:color="auto" w:fill="FFFFFF"/>
        <w:ind w:firstLine="851"/>
        <w:contextualSpacing/>
        <w:jc w:val="both"/>
        <w:rPr>
          <w:rFonts w:eastAsia="Calibri"/>
          <w:sz w:val="24"/>
          <w:lang w:eastAsia="en-US"/>
        </w:rPr>
      </w:pPr>
    </w:p>
    <w:p w:rsidR="00C44B20" w:rsidRDefault="00C44B20" w:rsidP="00C44B20">
      <w:pPr>
        <w:shd w:val="clear" w:color="auto" w:fill="FFFFFF"/>
        <w:ind w:firstLine="851"/>
        <w:contextualSpacing/>
        <w:jc w:val="both"/>
        <w:rPr>
          <w:sz w:val="24"/>
        </w:rPr>
      </w:pPr>
      <w:r w:rsidRPr="00883078">
        <w:rPr>
          <w:sz w:val="24"/>
        </w:rPr>
        <w:t>5.</w:t>
      </w:r>
      <w:r>
        <w:rPr>
          <w:sz w:val="24"/>
        </w:rPr>
        <w:t xml:space="preserve"> Заказчику был направлен запрос о разъяснении положений документации следующего содержания:</w:t>
      </w:r>
      <w:r w:rsidRPr="00883078">
        <w:rPr>
          <w:sz w:val="24"/>
        </w:rPr>
        <w:t xml:space="preserve"> </w:t>
      </w:r>
    </w:p>
    <w:p w:rsidR="00C44B20" w:rsidRPr="007F647D" w:rsidRDefault="00C44B20" w:rsidP="00C44B20">
      <w:pPr>
        <w:shd w:val="clear" w:color="auto" w:fill="FFFFFF"/>
        <w:ind w:firstLine="851"/>
        <w:contextualSpacing/>
        <w:jc w:val="both"/>
        <w:rPr>
          <w:rFonts w:eastAsia="Calibri"/>
          <w:sz w:val="24"/>
          <w:lang w:eastAsia="en-US"/>
        </w:rPr>
      </w:pPr>
      <w:r w:rsidRPr="00883078">
        <w:rPr>
          <w:sz w:val="24"/>
        </w:rPr>
        <w:t>Согласно инструкции не должны сопровождаться словами «не менее», «не более» указываемые значения (то есть столбец №3). Просим пояснить порядок подготовки заявки в случае, если слова «не менее», «не более» и иные, перечисленные в инструкции, встречаются не в столбце «значение параметра» (то есть в столбце №3), а в столбце «наименование параметра» (то есть в столбце №2). Например, в следующих позициях:</w:t>
      </w:r>
    </w:p>
    <w:tbl>
      <w:tblPr>
        <w:tblW w:w="100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6655"/>
        <w:gridCol w:w="1451"/>
        <w:gridCol w:w="992"/>
      </w:tblGrid>
      <w:tr w:rsidR="00C44B20" w:rsidRPr="00883078" w:rsidTr="00864B55">
        <w:trPr>
          <w:cantSplit/>
          <w:trHeight w:val="905"/>
          <w:tblHeader/>
          <w:jc w:val="center"/>
        </w:trPr>
        <w:tc>
          <w:tcPr>
            <w:tcW w:w="902" w:type="dxa"/>
            <w:vAlign w:val="center"/>
          </w:tcPr>
          <w:p w:rsidR="00C44B20" w:rsidRPr="00883078" w:rsidRDefault="00C44B20" w:rsidP="00864B55">
            <w:pPr>
              <w:ind w:firstLine="851"/>
              <w:jc w:val="center"/>
              <w:rPr>
                <w:sz w:val="24"/>
              </w:rPr>
            </w:pPr>
            <w:r w:rsidRPr="00883078">
              <w:rPr>
                <w:sz w:val="24"/>
              </w:rPr>
              <w:t xml:space="preserve">№ </w:t>
            </w:r>
            <w:proofErr w:type="gramStart"/>
            <w:r w:rsidRPr="00883078">
              <w:rPr>
                <w:sz w:val="24"/>
              </w:rPr>
              <w:t>п</w:t>
            </w:r>
            <w:proofErr w:type="gramEnd"/>
            <w:r w:rsidRPr="00883078">
              <w:rPr>
                <w:sz w:val="24"/>
              </w:rPr>
              <w:t>/п</w:t>
            </w:r>
          </w:p>
        </w:tc>
        <w:tc>
          <w:tcPr>
            <w:tcW w:w="6655" w:type="dxa"/>
            <w:vAlign w:val="center"/>
          </w:tcPr>
          <w:p w:rsidR="00C44B20" w:rsidRPr="00883078" w:rsidRDefault="00C44B20" w:rsidP="00864B55">
            <w:pPr>
              <w:ind w:firstLine="851"/>
              <w:jc w:val="center"/>
              <w:rPr>
                <w:sz w:val="24"/>
              </w:rPr>
            </w:pPr>
            <w:r w:rsidRPr="00883078">
              <w:rPr>
                <w:sz w:val="24"/>
              </w:rPr>
              <w:t>Технические требования к оборудованию</w:t>
            </w:r>
          </w:p>
          <w:p w:rsidR="00C44B20" w:rsidRPr="00883078" w:rsidRDefault="00C44B20" w:rsidP="00864B55">
            <w:pPr>
              <w:ind w:firstLine="851"/>
              <w:jc w:val="center"/>
              <w:rPr>
                <w:sz w:val="24"/>
              </w:rPr>
            </w:pPr>
            <w:r w:rsidRPr="00883078">
              <w:rPr>
                <w:sz w:val="24"/>
              </w:rPr>
              <w:t>(наименование параметра)</w:t>
            </w:r>
          </w:p>
        </w:tc>
        <w:tc>
          <w:tcPr>
            <w:tcW w:w="1451" w:type="dxa"/>
            <w:vAlign w:val="center"/>
          </w:tcPr>
          <w:p w:rsidR="00C44B20" w:rsidRPr="00883078" w:rsidRDefault="00C44B20" w:rsidP="00864B55">
            <w:pPr>
              <w:ind w:firstLine="851"/>
              <w:jc w:val="center"/>
              <w:rPr>
                <w:sz w:val="24"/>
              </w:rPr>
            </w:pPr>
            <w:r w:rsidRPr="00883078">
              <w:rPr>
                <w:sz w:val="24"/>
              </w:rPr>
              <w:t xml:space="preserve">Требования </w:t>
            </w:r>
          </w:p>
          <w:p w:rsidR="00C44B20" w:rsidRPr="00883078" w:rsidRDefault="00C44B20" w:rsidP="00864B55">
            <w:pPr>
              <w:ind w:firstLine="851"/>
              <w:jc w:val="center"/>
              <w:rPr>
                <w:sz w:val="24"/>
              </w:rPr>
            </w:pPr>
            <w:r w:rsidRPr="00883078">
              <w:rPr>
                <w:sz w:val="24"/>
              </w:rPr>
              <w:t>(значение     параметра)</w:t>
            </w:r>
          </w:p>
        </w:tc>
        <w:tc>
          <w:tcPr>
            <w:tcW w:w="992" w:type="dxa"/>
            <w:vAlign w:val="center"/>
          </w:tcPr>
          <w:p w:rsidR="00C44B20" w:rsidRPr="00883078" w:rsidRDefault="00C44B20" w:rsidP="00864B55">
            <w:pPr>
              <w:ind w:firstLine="851"/>
              <w:jc w:val="center"/>
              <w:rPr>
                <w:sz w:val="24"/>
              </w:rPr>
            </w:pPr>
            <w:r w:rsidRPr="00883078">
              <w:rPr>
                <w:sz w:val="24"/>
              </w:rPr>
              <w:t>Прим.</w:t>
            </w:r>
          </w:p>
        </w:tc>
      </w:tr>
      <w:tr w:rsidR="00C44B20" w:rsidRPr="00883078" w:rsidTr="00864B55">
        <w:trPr>
          <w:cantSplit/>
          <w:trHeight w:val="20"/>
          <w:jc w:val="center"/>
        </w:trPr>
        <w:tc>
          <w:tcPr>
            <w:tcW w:w="10000" w:type="dxa"/>
            <w:gridSpan w:val="4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rPr>
                <w:b/>
                <w:sz w:val="24"/>
              </w:rPr>
            </w:pPr>
            <w:r w:rsidRPr="00883078">
              <w:rPr>
                <w:b/>
                <w:sz w:val="24"/>
              </w:rPr>
              <w:t>1. Основные параметры</w:t>
            </w:r>
          </w:p>
        </w:tc>
      </w:tr>
      <w:tr w:rsidR="00C44B20" w:rsidRPr="00883078" w:rsidTr="00864B55">
        <w:trPr>
          <w:cantSplit/>
          <w:trHeight w:val="20"/>
          <w:jc w:val="center"/>
        </w:trPr>
        <w:tc>
          <w:tcPr>
            <w:tcW w:w="902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rPr>
                <w:sz w:val="24"/>
              </w:rPr>
            </w:pPr>
          </w:p>
        </w:tc>
        <w:tc>
          <w:tcPr>
            <w:tcW w:w="6655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rPr>
                <w:sz w:val="24"/>
              </w:rPr>
            </w:pPr>
            <w:r w:rsidRPr="00883078">
              <w:rPr>
                <w:sz w:val="24"/>
              </w:rPr>
              <w:t>…</w:t>
            </w:r>
          </w:p>
        </w:tc>
        <w:tc>
          <w:tcPr>
            <w:tcW w:w="1451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rPr>
                <w:sz w:val="24"/>
              </w:rPr>
            </w:pPr>
          </w:p>
        </w:tc>
      </w:tr>
      <w:tr w:rsidR="00C44B20" w:rsidRPr="00883078" w:rsidTr="00864B55">
        <w:trPr>
          <w:cantSplit/>
          <w:trHeight w:val="20"/>
          <w:jc w:val="center"/>
        </w:trPr>
        <w:tc>
          <w:tcPr>
            <w:tcW w:w="902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rPr>
                <w:sz w:val="24"/>
              </w:rPr>
            </w:pPr>
            <w:r w:rsidRPr="00883078">
              <w:rPr>
                <w:sz w:val="24"/>
              </w:rPr>
              <w:t>1.9</w:t>
            </w:r>
          </w:p>
        </w:tc>
        <w:tc>
          <w:tcPr>
            <w:tcW w:w="6655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rPr>
                <w:sz w:val="24"/>
              </w:rPr>
            </w:pPr>
            <w:r w:rsidRPr="00883078">
              <w:rPr>
                <w:sz w:val="24"/>
              </w:rPr>
              <w:t>Потери холостого хода, кВт, не более</w:t>
            </w:r>
          </w:p>
        </w:tc>
        <w:tc>
          <w:tcPr>
            <w:tcW w:w="1451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jc w:val="center"/>
              <w:rPr>
                <w:sz w:val="24"/>
              </w:rPr>
            </w:pPr>
            <w:r w:rsidRPr="00883078">
              <w:rPr>
                <w:sz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rPr>
                <w:sz w:val="24"/>
              </w:rPr>
            </w:pPr>
          </w:p>
        </w:tc>
      </w:tr>
      <w:tr w:rsidR="00C44B20" w:rsidRPr="00883078" w:rsidTr="00864B55">
        <w:trPr>
          <w:cantSplit/>
          <w:trHeight w:val="20"/>
          <w:jc w:val="center"/>
        </w:trPr>
        <w:tc>
          <w:tcPr>
            <w:tcW w:w="902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rPr>
                <w:sz w:val="24"/>
              </w:rPr>
            </w:pPr>
            <w:r w:rsidRPr="00883078">
              <w:rPr>
                <w:sz w:val="24"/>
              </w:rPr>
              <w:t>1.10</w:t>
            </w:r>
          </w:p>
        </w:tc>
        <w:tc>
          <w:tcPr>
            <w:tcW w:w="6655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rPr>
                <w:sz w:val="24"/>
              </w:rPr>
            </w:pPr>
            <w:r w:rsidRPr="00883078">
              <w:rPr>
                <w:sz w:val="24"/>
              </w:rPr>
              <w:t xml:space="preserve">Потери </w:t>
            </w:r>
            <w:proofErr w:type="spellStart"/>
            <w:r w:rsidRPr="00883078">
              <w:rPr>
                <w:sz w:val="24"/>
              </w:rPr>
              <w:t>к.з</w:t>
            </w:r>
            <w:proofErr w:type="spellEnd"/>
            <w:r w:rsidRPr="00883078">
              <w:rPr>
                <w:sz w:val="24"/>
              </w:rPr>
              <w:t>. при t-75</w:t>
            </w:r>
            <w:r w:rsidRPr="00883078">
              <w:rPr>
                <w:sz w:val="24"/>
                <w:vertAlign w:val="superscript"/>
              </w:rPr>
              <w:t>0</w:t>
            </w:r>
            <w:r w:rsidRPr="00883078">
              <w:rPr>
                <w:sz w:val="24"/>
              </w:rPr>
              <w:t>С, кВт, не более</w:t>
            </w:r>
          </w:p>
        </w:tc>
        <w:tc>
          <w:tcPr>
            <w:tcW w:w="1451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jc w:val="center"/>
              <w:rPr>
                <w:sz w:val="24"/>
              </w:rPr>
            </w:pPr>
            <w:r w:rsidRPr="00883078">
              <w:rPr>
                <w:sz w:val="24"/>
              </w:rPr>
              <w:t>10,35</w:t>
            </w:r>
          </w:p>
        </w:tc>
        <w:tc>
          <w:tcPr>
            <w:tcW w:w="992" w:type="dxa"/>
            <w:vAlign w:val="center"/>
          </w:tcPr>
          <w:p w:rsidR="00C44B20" w:rsidRPr="00883078" w:rsidRDefault="00C44B20" w:rsidP="00864B55">
            <w:pPr>
              <w:spacing w:line="276" w:lineRule="auto"/>
              <w:ind w:firstLine="851"/>
              <w:rPr>
                <w:sz w:val="24"/>
              </w:rPr>
            </w:pPr>
          </w:p>
        </w:tc>
      </w:tr>
    </w:tbl>
    <w:p w:rsidR="00C44B20" w:rsidRPr="00883078" w:rsidRDefault="00C44B20" w:rsidP="00C44B20">
      <w:pPr>
        <w:ind w:firstLine="851"/>
        <w:rPr>
          <w:sz w:val="24"/>
        </w:rPr>
      </w:pPr>
      <w:r w:rsidRPr="00883078">
        <w:rPr>
          <w:sz w:val="24"/>
        </w:rPr>
        <w:t>Также просим пояснить, каким образом участник может конкретизировать следующий показатель:</w:t>
      </w:r>
    </w:p>
    <w:p w:rsidR="00C44B20" w:rsidRPr="00883078" w:rsidRDefault="00C44B20" w:rsidP="00C44B20">
      <w:pPr>
        <w:ind w:firstLine="851"/>
        <w:jc w:val="center"/>
        <w:rPr>
          <w:b/>
          <w:sz w:val="24"/>
        </w:rPr>
      </w:pPr>
      <w:r w:rsidRPr="00883078">
        <w:rPr>
          <w:b/>
          <w:sz w:val="24"/>
        </w:rPr>
        <w:t>Требования к характеристикам устройств компенсации реактивной мощности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6494"/>
        <w:gridCol w:w="1769"/>
        <w:gridCol w:w="992"/>
      </w:tblGrid>
      <w:tr w:rsidR="00C44B20" w:rsidRPr="00883078" w:rsidTr="00864B55">
        <w:trPr>
          <w:tblHeader/>
          <w:jc w:val="center"/>
        </w:trPr>
        <w:tc>
          <w:tcPr>
            <w:tcW w:w="905" w:type="dxa"/>
            <w:vAlign w:val="center"/>
          </w:tcPr>
          <w:p w:rsidR="00C44B20" w:rsidRPr="00883078" w:rsidRDefault="00C44B20" w:rsidP="00864B55">
            <w:pPr>
              <w:ind w:firstLine="8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883078">
              <w:rPr>
                <w:sz w:val="24"/>
              </w:rPr>
              <w:t>п</w:t>
            </w:r>
            <w:proofErr w:type="spellEnd"/>
            <w:r w:rsidRPr="00883078">
              <w:rPr>
                <w:sz w:val="24"/>
              </w:rPr>
              <w:t>/</w:t>
            </w:r>
            <w:proofErr w:type="gramStart"/>
            <w:r w:rsidRPr="00883078">
              <w:rPr>
                <w:sz w:val="24"/>
              </w:rPr>
              <w:t>п</w:t>
            </w:r>
            <w:proofErr w:type="gramEnd"/>
          </w:p>
        </w:tc>
        <w:tc>
          <w:tcPr>
            <w:tcW w:w="6494" w:type="dxa"/>
            <w:vAlign w:val="center"/>
          </w:tcPr>
          <w:p w:rsidR="00C44B20" w:rsidRPr="00883078" w:rsidRDefault="00C44B20" w:rsidP="00864B55">
            <w:pPr>
              <w:ind w:firstLine="851"/>
              <w:jc w:val="center"/>
              <w:rPr>
                <w:sz w:val="24"/>
              </w:rPr>
            </w:pPr>
            <w:r w:rsidRPr="00883078">
              <w:rPr>
                <w:sz w:val="24"/>
              </w:rPr>
              <w:t>Технические требования к оборудованию</w:t>
            </w:r>
          </w:p>
          <w:p w:rsidR="00C44B20" w:rsidRPr="00883078" w:rsidRDefault="00C44B20" w:rsidP="00864B55">
            <w:pPr>
              <w:ind w:firstLine="851"/>
              <w:jc w:val="center"/>
              <w:rPr>
                <w:sz w:val="24"/>
              </w:rPr>
            </w:pPr>
            <w:r w:rsidRPr="00883078">
              <w:rPr>
                <w:sz w:val="24"/>
              </w:rPr>
              <w:t>(наименование параметра)</w:t>
            </w:r>
          </w:p>
        </w:tc>
        <w:tc>
          <w:tcPr>
            <w:tcW w:w="1769" w:type="dxa"/>
            <w:vAlign w:val="center"/>
          </w:tcPr>
          <w:p w:rsidR="00C44B20" w:rsidRPr="00883078" w:rsidRDefault="00C44B20" w:rsidP="00864B55">
            <w:pPr>
              <w:rPr>
                <w:sz w:val="24"/>
              </w:rPr>
            </w:pPr>
            <w:r w:rsidRPr="00883078">
              <w:rPr>
                <w:sz w:val="24"/>
              </w:rPr>
              <w:t xml:space="preserve">Требования </w:t>
            </w:r>
          </w:p>
          <w:p w:rsidR="00C44B20" w:rsidRPr="00883078" w:rsidRDefault="00C44B20" w:rsidP="00864B55">
            <w:pPr>
              <w:rPr>
                <w:sz w:val="24"/>
              </w:rPr>
            </w:pPr>
            <w:r w:rsidRPr="00883078">
              <w:rPr>
                <w:sz w:val="24"/>
              </w:rPr>
              <w:t>(значение параметра)</w:t>
            </w:r>
          </w:p>
        </w:tc>
        <w:tc>
          <w:tcPr>
            <w:tcW w:w="992" w:type="dxa"/>
            <w:vAlign w:val="center"/>
          </w:tcPr>
          <w:p w:rsidR="00C44B20" w:rsidRPr="00883078" w:rsidRDefault="00C44B20" w:rsidP="00864B55">
            <w:pPr>
              <w:rPr>
                <w:sz w:val="24"/>
              </w:rPr>
            </w:pPr>
            <w:r w:rsidRPr="00883078">
              <w:rPr>
                <w:sz w:val="24"/>
              </w:rPr>
              <w:t>Прил.</w:t>
            </w:r>
          </w:p>
        </w:tc>
      </w:tr>
      <w:tr w:rsidR="00C44B20" w:rsidRPr="00883078" w:rsidTr="00864B55">
        <w:trPr>
          <w:jc w:val="center"/>
        </w:trPr>
        <w:tc>
          <w:tcPr>
            <w:tcW w:w="10160" w:type="dxa"/>
            <w:gridSpan w:val="4"/>
          </w:tcPr>
          <w:p w:rsidR="00C44B20" w:rsidRPr="00883078" w:rsidRDefault="00C44B20" w:rsidP="00C44B20">
            <w:pPr>
              <w:numPr>
                <w:ilvl w:val="0"/>
                <w:numId w:val="1"/>
              </w:numPr>
              <w:ind w:left="0" w:firstLine="851"/>
              <w:rPr>
                <w:b/>
                <w:sz w:val="24"/>
              </w:rPr>
            </w:pPr>
            <w:r w:rsidRPr="00883078">
              <w:rPr>
                <w:b/>
                <w:bCs/>
                <w:sz w:val="24"/>
              </w:rPr>
              <w:t>Условия эксплуатации</w:t>
            </w:r>
          </w:p>
        </w:tc>
      </w:tr>
      <w:tr w:rsidR="00C44B20" w:rsidRPr="00883078" w:rsidTr="00864B55">
        <w:trPr>
          <w:trHeight w:val="441"/>
          <w:jc w:val="center"/>
        </w:trPr>
        <w:tc>
          <w:tcPr>
            <w:tcW w:w="905" w:type="dxa"/>
            <w:vAlign w:val="center"/>
          </w:tcPr>
          <w:p w:rsidR="00C44B20" w:rsidRPr="00883078" w:rsidRDefault="00C44B20" w:rsidP="00864B55">
            <w:pPr>
              <w:ind w:firstLine="851"/>
              <w:rPr>
                <w:sz w:val="24"/>
              </w:rPr>
            </w:pPr>
            <w:r w:rsidRPr="00883078">
              <w:rPr>
                <w:sz w:val="24"/>
              </w:rPr>
              <w:t>21.</w:t>
            </w:r>
          </w:p>
        </w:tc>
        <w:tc>
          <w:tcPr>
            <w:tcW w:w="6494" w:type="dxa"/>
            <w:vAlign w:val="center"/>
          </w:tcPr>
          <w:p w:rsidR="00C44B20" w:rsidRPr="00883078" w:rsidRDefault="00C44B20" w:rsidP="00864B55">
            <w:pPr>
              <w:rPr>
                <w:sz w:val="24"/>
              </w:rPr>
            </w:pPr>
            <w:r w:rsidRPr="00883078">
              <w:rPr>
                <w:sz w:val="24"/>
              </w:rPr>
              <w:t xml:space="preserve">Высота установки над уровнем моря, </w:t>
            </w:r>
            <w:proofErr w:type="gramStart"/>
            <w:r w:rsidRPr="00883078">
              <w:rPr>
                <w:sz w:val="24"/>
              </w:rPr>
              <w:t>м</w:t>
            </w:r>
            <w:proofErr w:type="gramEnd"/>
            <w:r w:rsidRPr="00883078">
              <w:rPr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C44B20" w:rsidRPr="00883078" w:rsidRDefault="00C44B20" w:rsidP="00864B55">
            <w:pPr>
              <w:rPr>
                <w:sz w:val="24"/>
              </w:rPr>
            </w:pPr>
            <w:r w:rsidRPr="00883078">
              <w:rPr>
                <w:sz w:val="24"/>
              </w:rPr>
              <w:t>не более 1000</w:t>
            </w:r>
          </w:p>
        </w:tc>
        <w:tc>
          <w:tcPr>
            <w:tcW w:w="992" w:type="dxa"/>
          </w:tcPr>
          <w:p w:rsidR="00C44B20" w:rsidRPr="00883078" w:rsidRDefault="00C44B20" w:rsidP="00864B55">
            <w:pPr>
              <w:ind w:firstLine="851"/>
              <w:jc w:val="center"/>
              <w:rPr>
                <w:sz w:val="24"/>
              </w:rPr>
            </w:pPr>
          </w:p>
        </w:tc>
      </w:tr>
    </w:tbl>
    <w:p w:rsidR="00C44B20" w:rsidRDefault="00C44B20" w:rsidP="00C44B20">
      <w:pPr>
        <w:ind w:firstLine="851"/>
      </w:pPr>
      <w:r w:rsidRPr="00883078">
        <w:rPr>
          <w:sz w:val="24"/>
        </w:rPr>
        <w:t xml:space="preserve">Согласно инструкции по подготовке заявок в данном случае участник должен указать одно точное значение параметра, например 1000 м. Однако, сделать это невозможно, так как данными о высоте установки относительно уровня моря участник не обладает. В связи с </w:t>
      </w:r>
      <w:proofErr w:type="gramStart"/>
      <w:r w:rsidRPr="00883078">
        <w:rPr>
          <w:sz w:val="24"/>
        </w:rPr>
        <w:t>вышеизложенным</w:t>
      </w:r>
      <w:proofErr w:type="gramEnd"/>
      <w:r w:rsidRPr="00883078">
        <w:rPr>
          <w:sz w:val="24"/>
        </w:rPr>
        <w:t xml:space="preserve"> просим откорректировать данное требование к товару</w:t>
      </w:r>
      <w:r w:rsidRPr="00CB4AB0">
        <w:t xml:space="preserve">. </w:t>
      </w:r>
    </w:p>
    <w:p w:rsidR="00C44B20" w:rsidRDefault="00C44B20" w:rsidP="00C44B20">
      <w:pPr>
        <w:ind w:firstLine="851"/>
      </w:pPr>
    </w:p>
    <w:p w:rsidR="00C44B20" w:rsidRPr="006B56ED" w:rsidRDefault="00C44B20" w:rsidP="00C44B20">
      <w:pPr>
        <w:ind w:firstLine="851"/>
        <w:rPr>
          <w:sz w:val="24"/>
        </w:rPr>
      </w:pPr>
      <w:r w:rsidRPr="006B56ED">
        <w:rPr>
          <w:sz w:val="24"/>
        </w:rPr>
        <w:t xml:space="preserve">В ответе на данный запрос заказчик указал: </w:t>
      </w:r>
    </w:p>
    <w:p w:rsidR="00C44B20" w:rsidRPr="006B56ED" w:rsidRDefault="00C44B20" w:rsidP="00C44B20">
      <w:pPr>
        <w:ind w:firstLine="851"/>
        <w:rPr>
          <w:sz w:val="24"/>
        </w:rPr>
      </w:pPr>
      <w:r w:rsidRPr="006B56ED">
        <w:rPr>
          <w:noProof/>
          <w:sz w:val="24"/>
        </w:rPr>
        <w:drawing>
          <wp:inline distT="0" distB="0" distL="0" distR="0" wp14:anchorId="36F9A245" wp14:editId="21D303DD">
            <wp:extent cx="5929630" cy="2911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20" w:rsidRPr="006B56ED" w:rsidRDefault="00C44B20" w:rsidP="00C44B20">
      <w:pPr>
        <w:ind w:firstLine="851"/>
        <w:jc w:val="both"/>
        <w:rPr>
          <w:sz w:val="24"/>
        </w:rPr>
      </w:pPr>
      <w:r w:rsidRPr="006B56ED">
        <w:rPr>
          <w:sz w:val="24"/>
        </w:rPr>
        <w:t>Подобный ответ на запрос подтверждает, что инструкция по подготовке заявки не позволяет участникам подготовить первую часть заявки, поскольку невозможно однозначно определить</w:t>
      </w:r>
      <w:r>
        <w:rPr>
          <w:sz w:val="24"/>
        </w:rPr>
        <w:t>,</w:t>
      </w:r>
      <w:r w:rsidRPr="006B56ED">
        <w:rPr>
          <w:sz w:val="24"/>
        </w:rPr>
        <w:t xml:space="preserve"> какие показатели подлежат конкретизации, а каки</w:t>
      </w:r>
      <w:r>
        <w:rPr>
          <w:sz w:val="24"/>
        </w:rPr>
        <w:t>е</w:t>
      </w:r>
      <w:r w:rsidRPr="006B56ED">
        <w:rPr>
          <w:sz w:val="24"/>
        </w:rPr>
        <w:t xml:space="preserve"> должны остаться неизменными. </w:t>
      </w:r>
    </w:p>
    <w:p w:rsidR="00C44B20" w:rsidRDefault="00C44B20" w:rsidP="00C44B20">
      <w:pPr>
        <w:ind w:firstLine="851"/>
      </w:pP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eastAsia="en-US"/>
        </w:rPr>
      </w:pPr>
      <w:r w:rsidRPr="003B2181">
        <w:rPr>
          <w:rFonts w:eastAsiaTheme="minorHAnsi"/>
          <w:sz w:val="24"/>
          <w:lang w:eastAsia="en-US"/>
        </w:rPr>
        <w:t xml:space="preserve">На основании </w:t>
      </w:r>
      <w:proofErr w:type="gramStart"/>
      <w:r w:rsidRPr="003B2181">
        <w:rPr>
          <w:rFonts w:eastAsiaTheme="minorHAnsi"/>
          <w:sz w:val="24"/>
          <w:lang w:eastAsia="en-US"/>
        </w:rPr>
        <w:t>вышеизложенного</w:t>
      </w:r>
      <w:proofErr w:type="gramEnd"/>
      <w:r w:rsidRPr="003B2181">
        <w:rPr>
          <w:rFonts w:eastAsiaTheme="minorHAnsi"/>
          <w:sz w:val="24"/>
          <w:lang w:eastAsia="en-US"/>
        </w:rPr>
        <w:t>, просим рассмотреть жалобу по существу и выдать заказчику предписание об устранении выявленных нарушений.</w:t>
      </w: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eastAsia="en-US"/>
        </w:rPr>
      </w:pP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eastAsia="en-US"/>
        </w:rPr>
      </w:pPr>
      <w:r w:rsidRPr="003B2181">
        <w:rPr>
          <w:rFonts w:eastAsiaTheme="minorHAnsi"/>
          <w:sz w:val="24"/>
          <w:lang w:eastAsia="en-US"/>
        </w:rPr>
        <w:t xml:space="preserve">Информация о заявителе: </w:t>
      </w: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eastAsia="en-US"/>
        </w:rPr>
      </w:pPr>
      <w:r w:rsidRPr="003B2181">
        <w:rPr>
          <w:rFonts w:eastAsiaTheme="minorHAnsi"/>
          <w:sz w:val="24"/>
          <w:lang w:eastAsia="en-US"/>
        </w:rPr>
        <w:t xml:space="preserve">Заявитель: Общество с ограниченной ответственностью «Консультант» </w:t>
      </w: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eastAsia="en-US"/>
        </w:rPr>
      </w:pPr>
      <w:r w:rsidRPr="003B2181">
        <w:rPr>
          <w:rFonts w:eastAsiaTheme="minorHAnsi"/>
          <w:sz w:val="24"/>
          <w:lang w:eastAsia="en-US"/>
        </w:rPr>
        <w:lastRenderedPageBreak/>
        <w:t xml:space="preserve">Адрес (почтовый и место нахождения): 344004, г. Ростов-на-Дону, ул. 3-я </w:t>
      </w:r>
      <w:proofErr w:type="gramStart"/>
      <w:r w:rsidRPr="003B2181">
        <w:rPr>
          <w:rFonts w:eastAsiaTheme="minorHAnsi"/>
          <w:sz w:val="24"/>
          <w:lang w:eastAsia="en-US"/>
        </w:rPr>
        <w:t>Кольцевая</w:t>
      </w:r>
      <w:proofErr w:type="gramEnd"/>
      <w:r w:rsidRPr="003B2181">
        <w:rPr>
          <w:rFonts w:eastAsiaTheme="minorHAnsi"/>
          <w:sz w:val="24"/>
          <w:lang w:eastAsia="en-US"/>
        </w:rPr>
        <w:t>, д. 58, оф. 25</w:t>
      </w: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val="en-US" w:eastAsia="en-US"/>
        </w:rPr>
      </w:pPr>
      <w:proofErr w:type="gramStart"/>
      <w:r w:rsidRPr="003B2181">
        <w:rPr>
          <w:rFonts w:eastAsiaTheme="minorHAnsi"/>
          <w:sz w:val="24"/>
          <w:lang w:val="en-US" w:eastAsia="en-US"/>
        </w:rPr>
        <w:t>e-mail</w:t>
      </w:r>
      <w:proofErr w:type="gramEnd"/>
      <w:r w:rsidRPr="003B2181">
        <w:rPr>
          <w:rFonts w:eastAsiaTheme="minorHAnsi"/>
          <w:sz w:val="24"/>
          <w:lang w:val="en-US" w:eastAsia="en-US"/>
        </w:rPr>
        <w:t>: ooo.consultant2014@yandex.ru</w:t>
      </w: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eastAsia="en-US"/>
        </w:rPr>
      </w:pPr>
      <w:r w:rsidRPr="003B2181">
        <w:rPr>
          <w:rFonts w:eastAsiaTheme="minorHAnsi"/>
          <w:sz w:val="24"/>
          <w:lang w:eastAsia="en-US"/>
        </w:rPr>
        <w:t>Телефон: 89029276497</w:t>
      </w: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eastAsia="en-US"/>
        </w:rPr>
      </w:pPr>
      <w:r w:rsidRPr="003B2181">
        <w:rPr>
          <w:rFonts w:eastAsiaTheme="minorHAnsi"/>
          <w:sz w:val="24"/>
          <w:lang w:eastAsia="en-US"/>
        </w:rPr>
        <w:t>Контактное лицо: Колегова Елена Алексеевна</w:t>
      </w: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eastAsia="en-US"/>
        </w:rPr>
      </w:pPr>
      <w:r w:rsidRPr="003B2181">
        <w:rPr>
          <w:rFonts w:eastAsiaTheme="minorHAnsi"/>
          <w:sz w:val="24"/>
          <w:lang w:eastAsia="en-US"/>
        </w:rPr>
        <w:t>Факс отсутствует</w:t>
      </w: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eastAsia="en-US"/>
        </w:rPr>
      </w:pP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eastAsia="en-US"/>
        </w:rPr>
      </w:pPr>
      <w:r w:rsidRPr="003B2181">
        <w:rPr>
          <w:rFonts w:eastAsiaTheme="minorHAnsi"/>
          <w:sz w:val="24"/>
          <w:lang w:eastAsia="en-US"/>
        </w:rPr>
        <w:t xml:space="preserve">Директор </w:t>
      </w:r>
      <w:proofErr w:type="spellStart"/>
      <w:r w:rsidRPr="003B2181">
        <w:rPr>
          <w:rFonts w:eastAsiaTheme="minorHAnsi"/>
          <w:sz w:val="24"/>
          <w:lang w:eastAsia="en-US"/>
        </w:rPr>
        <w:t>Юзюк</w:t>
      </w:r>
      <w:proofErr w:type="spellEnd"/>
      <w:r w:rsidRPr="003B2181">
        <w:rPr>
          <w:rFonts w:eastAsiaTheme="minorHAnsi"/>
          <w:sz w:val="24"/>
          <w:lang w:eastAsia="en-US"/>
        </w:rPr>
        <w:t xml:space="preserve"> А.Ю.</w:t>
      </w: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val="en-US" w:eastAsia="en-US"/>
        </w:rPr>
      </w:pPr>
      <w:r w:rsidRPr="003B2181">
        <w:rPr>
          <w:rFonts w:eastAsiaTheme="minorHAnsi"/>
          <w:sz w:val="24"/>
          <w:lang w:eastAsia="en-US"/>
        </w:rPr>
        <w:t>Подписано</w:t>
      </w:r>
      <w:r w:rsidRPr="003B2181">
        <w:rPr>
          <w:rFonts w:eastAsiaTheme="minorHAnsi"/>
          <w:sz w:val="24"/>
          <w:lang w:val="en-US" w:eastAsia="en-US"/>
        </w:rPr>
        <w:t xml:space="preserve"> ЭП</w:t>
      </w:r>
    </w:p>
    <w:p w:rsidR="00C44B20" w:rsidRPr="003B2181" w:rsidRDefault="00C44B20" w:rsidP="00C44B20">
      <w:pPr>
        <w:ind w:firstLine="851"/>
        <w:jc w:val="both"/>
        <w:rPr>
          <w:rFonts w:eastAsiaTheme="minorHAnsi"/>
          <w:sz w:val="24"/>
          <w:lang w:val="en-US" w:eastAsia="en-US"/>
        </w:rPr>
      </w:pPr>
    </w:p>
    <w:p w:rsidR="00C44B20" w:rsidRPr="003B2181" w:rsidRDefault="00C44B20" w:rsidP="00C44B20">
      <w:pPr>
        <w:ind w:left="-851" w:firstLine="851"/>
        <w:jc w:val="both"/>
        <w:rPr>
          <w:rFonts w:eastAsiaTheme="minorHAnsi"/>
          <w:sz w:val="24"/>
          <w:lang w:val="en-US" w:eastAsia="en-US"/>
        </w:rPr>
      </w:pPr>
    </w:p>
    <w:p w:rsidR="00C44B20" w:rsidRDefault="00C44B20" w:rsidP="00C44B20"/>
    <w:p w:rsidR="00C44B20" w:rsidRDefault="00C44B20" w:rsidP="00C44B20">
      <w:r>
        <w:rPr>
          <w:noProof/>
          <w:sz w:val="24"/>
        </w:rPr>
        <w:lastRenderedPageBreak/>
        <w:drawing>
          <wp:inline distT="0" distB="0" distL="0" distR="0" wp14:anchorId="3748041C" wp14:editId="60D2834E">
            <wp:extent cx="5940425" cy="8164830"/>
            <wp:effectExtent l="0" t="0" r="3175" b="7620"/>
            <wp:docPr id="2" name="Рисунок 2" descr="C:\Users\Александра\YandexDisk\Консультант\решение о назначении директ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YandexDisk\Консультант\решение о назначении директор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0D" w:rsidRDefault="00EF5A0D"/>
    <w:sectPr w:rsidR="00EF5A0D" w:rsidSect="008076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DA7"/>
    <w:multiLevelType w:val="hybridMultilevel"/>
    <w:tmpl w:val="C60EC320"/>
    <w:lvl w:ilvl="0" w:tplc="BC2461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20"/>
    <w:rsid w:val="00C44B20"/>
    <w:rsid w:val="00E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2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B2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44B20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B20"/>
    <w:pPr>
      <w:widowControl w:val="0"/>
      <w:shd w:val="clear" w:color="auto" w:fill="FFFFFF"/>
      <w:spacing w:before="780" w:after="60" w:line="0" w:lineRule="atLeast"/>
      <w:jc w:val="center"/>
    </w:pPr>
    <w:rPr>
      <w:rFonts w:asciiTheme="minorHAnsi" w:hAnsi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4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2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B2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44B20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B20"/>
    <w:pPr>
      <w:widowControl w:val="0"/>
      <w:shd w:val="clear" w:color="auto" w:fill="FFFFFF"/>
      <w:spacing w:before="780" w:after="60" w:line="0" w:lineRule="atLeast"/>
      <w:jc w:val="center"/>
    </w:pPr>
    <w:rPr>
      <w:rFonts w:asciiTheme="minorHAnsi" w:hAnsi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4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@kras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Gh3J9u4c2ZN6Uf4k5WR8nXznxToLhCBfAYMMz6KlkQ4=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/boC8yv1BSgJzMib9gZUarjt9ZG97jW4f/U+JKgGUiI=</DigestValue>
    </Reference>
  </SignedInfo>
  <SignatureValue>DV4fn/FqW+KKyWOGSxHOkUziRFUicr5N8rI2YpCuN2A1UvU5KJu6Cv2POp5r+sa6
bC2uLQcX0KqFWpOWXq7RTQ==</SignatureValue>
  <KeyInfo>
    <X509Data>
      <X509Certificate>MIIK3DCCCougAwIBAgIKYsPU1AADAAIrNjAIBgYqhQMCAgMwggFLMRgwFgYFKoUD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IQYDVQQDDBrQo9CmINCX0JDQniDQotCw0LrRgdCd0LXRgjAeFw0xNjAyMDUxMjU1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39GatYO/RZY/BgMmwTIJ+lh3w8o=</DigestValue>
      </Reference>
      <Reference URI="/word/document.xml?ContentType=application/vnd.openxmlformats-officedocument.wordprocessingml.document.main+xml">
        <DigestMethod Algorithm="http://www.w3.org/2000/09/xmldsig#sha1"/>
        <DigestValue>rdFqU0r3Lsj4OvJqYefqRYJXKZg=</DigestValue>
      </Reference>
      <Reference URI="/word/fontTable.xml?ContentType=application/vnd.openxmlformats-officedocument.wordprocessingml.fontTable+xml">
        <DigestMethod Algorithm="http://www.w3.org/2000/09/xmldsig#sha1"/>
        <DigestValue>cglMJ5z0bFs5f/cQmc5XHAmwfts=</DigestValue>
      </Reference>
      <Reference URI="/word/media/image1.png?ContentType=image/png">
        <DigestMethod Algorithm="http://www.w3.org/2000/09/xmldsig#sha1"/>
        <DigestValue>inWSbkEhngdw0C81Wf9Ol9fI894=</DigestValue>
      </Reference>
      <Reference URI="/word/media/image2.jpeg?ContentType=image/jpeg">
        <DigestMethod Algorithm="http://www.w3.org/2000/09/xmldsig#sha1"/>
        <DigestValue>PwtU2VlxB52K7r6KHlnICG6vzxY=</DigestValue>
      </Reference>
      <Reference URI="/word/numbering.xml?ContentType=application/vnd.openxmlformats-officedocument.wordprocessingml.numbering+xml">
        <DigestMethod Algorithm="http://www.w3.org/2000/09/xmldsig#sha1"/>
        <DigestValue>0+cTK83iaqgz0D5sn36oT1ANcD8=</DigestValue>
      </Reference>
      <Reference URI="/word/settings.xml?ContentType=application/vnd.openxmlformats-officedocument.wordprocessingml.settings+xml">
        <DigestMethod Algorithm="http://www.w3.org/2000/09/xmldsig#sha1"/>
        <DigestValue>1E6UGMibcJM3tdY1nxvj2FPrUJQ=</DigestValue>
      </Reference>
      <Reference URI="/word/styles.xml?ContentType=application/vnd.openxmlformats-officedocument.wordprocessingml.styles+xml">
        <DigestMethod Algorithm="http://www.w3.org/2000/09/xmldsig#sha1"/>
        <DigestValue>JnokP4qfGJULVBr8bBGtaUOmBUU=</DigestValue>
      </Reference>
      <Reference URI="/word/stylesWithEffects.xml?ContentType=application/vnd.ms-word.stylesWithEffects+xml">
        <DigestMethod Algorithm="http://www.w3.org/2000/09/xmldsig#sha1"/>
        <DigestValue>dKEWIGyga2vEqCgjfcrhop8KsbE=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2016-12-01T16:55:11Z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2016-12-01T16:55:11Z</xd:SigningTime>
          <xd:SigningCertificate>
            <xd:Cert>
              <xd:CertDigest>
                <DigestMethod Algorithm="http://www.w3.org/2000/09/xmldsig#sha1"/>
                <DigestValue>rAQxkJOjE5mDkdL6fByitqlEPtw=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466404366298242581932854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10731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2016-12-01T16:54:00Z</dcterms:created>
  <dcterms:modified xsi:type="dcterms:W3CDTF">2016-12-01T16:55:00Z</dcterms:modified>
</cp:coreProperties>
</file>